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ZH_BAUREKURSGERICHT BRGE II Nr. 0129/2017 vom 26. September 2017</w:t>
      </w:r>
    </w:p>
    <w:p>
      <w:r>
        <w:t>ZH Baurekursgericht, 2017-09-26, DE</w:t>
      </w:r>
    </w:p>
    <w:p>
      <w:r>
        <w:rPr>
          <w:b/>
        </w:rPr>
        <w:t xml:space="preserve">Quelle: </w:t>
      </w:r>
      <w:r>
        <w:t>https://mcp.opencaselaw.ch/entscheid/zh_baurekursgericht_BRGE II Nr. 0129_2017</w:t>
      </w:r>
    </w:p>
    <w:p>
      <w:r>
        <w:t>FR: ZH_BAUREKURSGERICHT BRGE II Nr. 0129/2017 du 26 septembre 2017</w:t>
      </w:r>
    </w:p>
    <w:p>
      <w:r>
        <w:t>IT: ZH_BAUREKURSGERICHT BRGE II Nr. 0129/2017 del 26 settembre 2017</w:t>
      </w:r>
    </w:p>
    <w:p>
      <w:pPr>
        <w:pStyle w:val="Heading2"/>
      </w:pPr>
      <w:r>
        <w:t>Regeste</w:t>
      </w:r>
    </w:p>
    <w:p>
      <w:r>
        <w:t>Die Baudirektion Kanton Zürich setzte mit Verfügung vom 21. Dezember 2016 den kantonalen Gestaltungsplan Uto Kulm fest, wogegen zwei Rekurse erhoben wurden. Das Baurekursgericht wies den einen Rekurs ab; auf den anderen trat das Gericht nicht ein.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[….] R2.2017.00030 Seite 31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